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02BA914F"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3GPP TSG-RAN WG4 Meeting 92bis</w:t>
      </w:r>
      <w:r w:rsidR="006358BA">
        <w:rPr>
          <w:b/>
          <w:i/>
          <w:noProof/>
          <w:sz w:val="28"/>
        </w:rPr>
        <w:tab/>
      </w:r>
      <w:r w:rsidR="00267E9F" w:rsidRPr="00267E9F">
        <w:rPr>
          <w:rFonts w:cs="Arial"/>
          <w:b/>
          <w:sz w:val="24"/>
          <w:szCs w:val="24"/>
        </w:rPr>
        <w:t>R4-19</w:t>
      </w:r>
      <w:r w:rsidR="00997D73">
        <w:rPr>
          <w:rFonts w:cs="Arial"/>
          <w:b/>
          <w:sz w:val="24"/>
          <w:szCs w:val="24"/>
        </w:rPr>
        <w:t>11618</w:t>
      </w:r>
    </w:p>
    <w:p w14:paraId="369D083E" w14:textId="00D55FD0" w:rsidR="00172067" w:rsidRDefault="006F1C9E" w:rsidP="00D415E5">
      <w:pPr>
        <w:pStyle w:val="CRCoverPage"/>
        <w:spacing w:after="0"/>
        <w:outlineLvl w:val="0"/>
        <w:rPr>
          <w:b/>
          <w:bCs/>
          <w:noProof/>
          <w:sz w:val="22"/>
          <w:lang w:eastAsia="zh-CN"/>
        </w:rPr>
      </w:pPr>
      <w:r w:rsidRPr="006F1C9E">
        <w:rPr>
          <w:b/>
          <w:bCs/>
          <w:noProof/>
          <w:sz w:val="22"/>
          <w:lang w:eastAsia="zh-CN"/>
        </w:rPr>
        <w:t xml:space="preserve">Chongqing , China, 14th – 18th October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AFE8F6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54E81" w:rsidRPr="00154E81">
        <w:rPr>
          <w:rFonts w:cs="Arial"/>
          <w:sz w:val="22"/>
        </w:rPr>
        <w:t xml:space="preserve">Introduction of </w:t>
      </w:r>
      <w:r w:rsidR="00154E81">
        <w:rPr>
          <w:rFonts w:cs="Arial"/>
          <w:sz w:val="22"/>
        </w:rPr>
        <w:t>I</w:t>
      </w:r>
      <w:r w:rsidR="00154E81" w:rsidRPr="00154E81">
        <w:rPr>
          <w:rFonts w:cs="Arial"/>
          <w:sz w:val="22"/>
        </w:rPr>
        <w:t xml:space="preserve">nner </w:t>
      </w:r>
      <w:r w:rsidR="00154E81">
        <w:rPr>
          <w:rFonts w:cs="Arial"/>
          <w:sz w:val="22"/>
        </w:rPr>
        <w:t>A</w:t>
      </w:r>
      <w:r w:rsidR="00154E81" w:rsidRPr="00154E81">
        <w:rPr>
          <w:rFonts w:cs="Arial"/>
          <w:sz w:val="22"/>
        </w:rPr>
        <w:t xml:space="preserve">llocations for </w:t>
      </w:r>
      <w:r w:rsidR="00154E81">
        <w:rPr>
          <w:rFonts w:cs="Arial"/>
          <w:sz w:val="22"/>
        </w:rPr>
        <w:t>I</w:t>
      </w:r>
      <w:r w:rsidR="00154E81" w:rsidRPr="00154E81">
        <w:rPr>
          <w:rFonts w:cs="Arial"/>
          <w:sz w:val="22"/>
        </w:rPr>
        <w:t xml:space="preserve">ntra-band </w:t>
      </w:r>
      <w:r w:rsidR="00154E81">
        <w:rPr>
          <w:rFonts w:cs="Arial"/>
          <w:sz w:val="22"/>
        </w:rPr>
        <w:t>C</w:t>
      </w:r>
      <w:r w:rsidR="00154E81" w:rsidRPr="00154E81">
        <w:rPr>
          <w:rFonts w:cs="Arial"/>
          <w:sz w:val="22"/>
        </w:rPr>
        <w:t>ontiguous ENDC and NR UL CA</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2A18E1C1"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54E81" w:rsidRPr="00154E81">
        <w:rPr>
          <w:rFonts w:ascii="Arial" w:hAnsi="Arial" w:cs="Arial"/>
          <w:sz w:val="22"/>
        </w:rPr>
        <w:t xml:space="preserve">9.14.2 Improvements to A-MPR/MPR for 26 </w:t>
      </w:r>
      <w:proofErr w:type="spellStart"/>
      <w:r w:rsidR="00154E81" w:rsidRPr="00154E81">
        <w:rPr>
          <w:rFonts w:ascii="Arial" w:hAnsi="Arial" w:cs="Arial"/>
          <w:sz w:val="22"/>
        </w:rPr>
        <w:t>dBm</w:t>
      </w:r>
      <w:proofErr w:type="spellEnd"/>
      <w:r w:rsidR="00154E81" w:rsidRPr="00154E81">
        <w:rPr>
          <w:rFonts w:ascii="Arial" w:hAnsi="Arial" w:cs="Arial"/>
          <w:sz w:val="22"/>
        </w:rPr>
        <w:t xml:space="preserve"> n41 and B41/n41 EN-DC   [LTE_NR_B41_Bn41_PC29dBm]</w:t>
      </w:r>
    </w:p>
    <w:p w14:paraId="2E5C6AEA" w14:textId="3F857E4B"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797B">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3C35EAD" w:rsidR="00577141" w:rsidRPr="00266639" w:rsidRDefault="009A30BB" w:rsidP="00577141">
      <w:pPr>
        <w:overflowPunct/>
        <w:autoSpaceDE/>
        <w:autoSpaceDN/>
        <w:adjustRightInd/>
        <w:spacing w:after="0"/>
        <w:jc w:val="both"/>
        <w:textAlignment w:val="auto"/>
        <w:rPr>
          <w:rFonts w:eastAsia="SimSun"/>
          <w:lang w:eastAsia="zh-CN"/>
        </w:rPr>
      </w:pPr>
      <w:r>
        <w:rPr>
          <w:rFonts w:eastAsia="SimSun"/>
          <w:lang w:eastAsia="zh-CN"/>
        </w:rPr>
        <w:t>In RAN4</w:t>
      </w:r>
      <w:r w:rsidR="00154E81">
        <w:rPr>
          <w:rFonts w:eastAsia="SimSun"/>
          <w:lang w:eastAsia="zh-CN"/>
        </w:rPr>
        <w:t>#92 meeting</w:t>
      </w:r>
      <w:r>
        <w:rPr>
          <w:rFonts w:eastAsia="SimSun"/>
          <w:lang w:eastAsia="zh-CN"/>
        </w:rPr>
        <w:t xml:space="preserve">, a </w:t>
      </w:r>
      <w:r w:rsidR="00154E81">
        <w:rPr>
          <w:rFonts w:eastAsia="SimSun"/>
          <w:lang w:eastAsia="zh-CN"/>
        </w:rPr>
        <w:t>contribution introduced the concept and definitions of inner allocation for intra-band 2 UL cases</w:t>
      </w:r>
      <w:r w:rsidR="001A666D">
        <w:rPr>
          <w:rFonts w:eastAsia="SimSun"/>
          <w:lang w:eastAsia="zh-CN"/>
        </w:rPr>
        <w:t xml:space="preserve"> [1</w:t>
      </w:r>
      <w:r w:rsidR="001479E3">
        <w:rPr>
          <w:rFonts w:eastAsia="SimSun"/>
          <w:lang w:eastAsia="zh-CN"/>
        </w:rPr>
        <w:t>]</w:t>
      </w:r>
      <w:r w:rsidR="00154E81">
        <w:rPr>
          <w:rFonts w:eastAsia="SimSun"/>
          <w:lang w:eastAsia="zh-CN"/>
        </w:rPr>
        <w:t>. This concept was evaluated in a number of contributions [2</w:t>
      </w:r>
      <w:r w:rsidR="0035592E">
        <w:rPr>
          <w:rFonts w:eastAsia="SimSun"/>
          <w:lang w:eastAsia="zh-CN"/>
        </w:rPr>
        <w:t xml:space="preserve"> to</w:t>
      </w:r>
      <w:r w:rsidR="00154E81">
        <w:rPr>
          <w:rFonts w:eastAsia="SimSun"/>
          <w:lang w:eastAsia="zh-CN"/>
        </w:rPr>
        <w:t xml:space="preserve"> </w:t>
      </w:r>
      <w:r w:rsidR="0035592E">
        <w:rPr>
          <w:rFonts w:eastAsia="SimSun"/>
          <w:lang w:eastAsia="zh-CN"/>
        </w:rPr>
        <w:t>6</w:t>
      </w:r>
      <w:r w:rsidR="00154E81">
        <w:rPr>
          <w:rFonts w:eastAsia="SimSun"/>
          <w:lang w:eastAsia="zh-CN"/>
        </w:rPr>
        <w:t>] with measurements.</w:t>
      </w:r>
      <w:r w:rsidR="001479E3">
        <w:rPr>
          <w:rFonts w:eastAsia="SimSun"/>
          <w:lang w:eastAsia="zh-CN"/>
        </w:rPr>
        <w:t xml:space="preserve"> </w:t>
      </w:r>
      <w:r w:rsidR="00154E81">
        <w:rPr>
          <w:rFonts w:eastAsia="SimSun"/>
          <w:lang w:eastAsia="zh-CN"/>
        </w:rPr>
        <w:t>In this contribution</w:t>
      </w:r>
      <w:r w:rsidR="000A5456">
        <w:rPr>
          <w:rFonts w:eastAsia="SimSun"/>
          <w:lang w:eastAsia="zh-CN"/>
        </w:rPr>
        <w:t>,</w:t>
      </w:r>
      <w:r w:rsidR="00154E81">
        <w:rPr>
          <w:rFonts w:eastAsia="SimSun"/>
          <w:lang w:eastAsia="zh-CN"/>
        </w:rPr>
        <w:t xml:space="preserve"> we further discuss how such concept can be introduced in the specification for intra-band two contiguous UL case</w:t>
      </w:r>
      <w:r w:rsidR="00997D73">
        <w:rPr>
          <w:rFonts w:eastAsia="SimSun"/>
          <w:lang w:eastAsia="zh-CN"/>
        </w:rPr>
        <w:t>s</w:t>
      </w:r>
      <w:r w:rsidR="00154E81">
        <w:rPr>
          <w:rFonts w:eastAsia="SimSun"/>
          <w:lang w:eastAsia="zh-CN"/>
        </w:rPr>
        <w:t xml:space="preserve"> and reused for related MPR, A-MPR and MSD</w:t>
      </w:r>
      <w:r w:rsidR="00997D73">
        <w:rPr>
          <w:rFonts w:eastAsia="SimSun"/>
          <w:lang w:eastAsia="zh-CN"/>
        </w:rPr>
        <w:t xml:space="preserve"> requirements</w:t>
      </w:r>
      <w:r w:rsidR="00154E81">
        <w:rPr>
          <w:rFonts w:eastAsia="SimSun"/>
          <w:lang w:eastAsia="zh-CN"/>
        </w:rPr>
        <w:t>.</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19A7A0EB" w14:textId="1EFB0735" w:rsidR="00402526" w:rsidRDefault="00154E81" w:rsidP="003C55C1">
      <w:pPr>
        <w:spacing w:after="0"/>
        <w:jc w:val="both"/>
        <w:rPr>
          <w:rFonts w:eastAsia="SimSun"/>
          <w:lang w:eastAsia="zh-CN"/>
        </w:rPr>
      </w:pPr>
      <w:r>
        <w:rPr>
          <w:rFonts w:eastAsia="SimSun"/>
          <w:lang w:eastAsia="zh-CN"/>
        </w:rPr>
        <w:t>In [</w:t>
      </w:r>
      <w:r w:rsidR="004D27CA">
        <w:rPr>
          <w:rFonts w:eastAsia="SimSun"/>
          <w:lang w:eastAsia="zh-CN"/>
        </w:rPr>
        <w:t xml:space="preserve">2], both inner and outer allocation </w:t>
      </w:r>
      <w:r w:rsidR="00402526">
        <w:rPr>
          <w:rFonts w:eastAsia="SimSun"/>
          <w:lang w:eastAsia="zh-CN"/>
        </w:rPr>
        <w:t xml:space="preserve">output power capability </w:t>
      </w:r>
      <w:r w:rsidR="004D27CA">
        <w:rPr>
          <w:rFonts w:eastAsia="SimSun"/>
          <w:lang w:eastAsia="zh-CN"/>
        </w:rPr>
        <w:t xml:space="preserve">trends vs isolations were shown which shows that </w:t>
      </w:r>
      <w:r w:rsidR="00402526">
        <w:rPr>
          <w:rFonts w:eastAsia="SimSun"/>
          <w:lang w:eastAsia="zh-CN"/>
        </w:rPr>
        <w:t xml:space="preserve">in particular </w:t>
      </w:r>
      <w:r w:rsidR="004D27CA">
        <w:rPr>
          <w:rFonts w:eastAsia="SimSun"/>
          <w:lang w:eastAsia="zh-CN"/>
        </w:rPr>
        <w:t>for the contiguous</w:t>
      </w:r>
      <w:r w:rsidR="00402526">
        <w:rPr>
          <w:rFonts w:eastAsia="SimSun"/>
          <w:lang w:eastAsia="zh-CN"/>
        </w:rPr>
        <w:t xml:space="preserve"> case there is significantly more gain in using different back-off requirements for inner and outer allocations than with increased antenna isolation assumptions.</w:t>
      </w:r>
    </w:p>
    <w:p w14:paraId="0FC8A1FC" w14:textId="77777777" w:rsidR="00402526" w:rsidRDefault="00402526" w:rsidP="003C55C1">
      <w:pPr>
        <w:spacing w:after="0"/>
        <w:jc w:val="both"/>
        <w:rPr>
          <w:rFonts w:eastAsia="SimSun"/>
          <w:lang w:eastAsia="zh-CN"/>
        </w:rPr>
      </w:pPr>
    </w:p>
    <w:p w14:paraId="1F503ABF" w14:textId="47AB7F37" w:rsidR="00402526" w:rsidRDefault="00402526" w:rsidP="003C55C1">
      <w:pPr>
        <w:spacing w:after="0"/>
        <w:jc w:val="both"/>
        <w:rPr>
          <w:rFonts w:eastAsia="SimSun"/>
          <w:lang w:eastAsia="zh-CN"/>
        </w:rPr>
      </w:pPr>
      <w:r>
        <w:rPr>
          <w:rFonts w:eastAsia="SimSun"/>
          <w:lang w:eastAsia="zh-CN"/>
        </w:rPr>
        <w:t>In [3]</w:t>
      </w:r>
      <w:r w:rsidR="0071009E">
        <w:rPr>
          <w:rFonts w:eastAsia="SimSun"/>
          <w:lang w:eastAsia="zh-CN"/>
        </w:rPr>
        <w:t>,</w:t>
      </w:r>
      <w:r>
        <w:rPr>
          <w:rFonts w:eastAsia="SimSun"/>
          <w:lang w:eastAsia="zh-CN"/>
        </w:rPr>
        <w:t xml:space="preserve"> it was shown that the best MSD test points correspond to inner allocations </w:t>
      </w:r>
      <w:r w:rsidR="0071009E">
        <w:rPr>
          <w:rFonts w:eastAsia="SimSun"/>
          <w:lang w:eastAsia="zh-CN"/>
        </w:rPr>
        <w:t xml:space="preserve">while the worst </w:t>
      </w:r>
      <w:proofErr w:type="gramStart"/>
      <w:r w:rsidR="0071009E">
        <w:rPr>
          <w:rFonts w:eastAsia="SimSun"/>
          <w:lang w:eastAsia="zh-CN"/>
        </w:rPr>
        <w:t>case correspond</w:t>
      </w:r>
      <w:proofErr w:type="gramEnd"/>
      <w:r w:rsidR="0071009E">
        <w:rPr>
          <w:rFonts w:eastAsia="SimSun"/>
          <w:lang w:eastAsia="zh-CN"/>
        </w:rPr>
        <w:t xml:space="preserve"> to outer allocations</w:t>
      </w:r>
      <w:r w:rsidR="000A5456">
        <w:rPr>
          <w:rFonts w:eastAsia="SimSun"/>
          <w:lang w:eastAsia="zh-CN"/>
        </w:rPr>
        <w:t>. This was done</w:t>
      </w:r>
      <w:r w:rsidR="0071009E">
        <w:rPr>
          <w:rFonts w:eastAsia="SimSun"/>
          <w:lang w:eastAsia="zh-CN"/>
        </w:rPr>
        <w:t xml:space="preserve"> using different UL power levels for the evaluation of those MSD and </w:t>
      </w:r>
      <w:r w:rsidR="000A5456">
        <w:rPr>
          <w:rFonts w:eastAsia="SimSun"/>
          <w:lang w:eastAsia="zh-CN"/>
        </w:rPr>
        <w:t>in particular,</w:t>
      </w:r>
      <w:r w:rsidR="0071009E">
        <w:rPr>
          <w:rFonts w:eastAsia="SimSun"/>
          <w:lang w:eastAsia="zh-CN"/>
        </w:rPr>
        <w:t xml:space="preserve"> using the maximum available power for the best MSD test point </w:t>
      </w:r>
      <w:r w:rsidR="000A5456">
        <w:rPr>
          <w:rFonts w:eastAsia="SimSun"/>
          <w:lang w:eastAsia="zh-CN"/>
        </w:rPr>
        <w:t xml:space="preserve">as it </w:t>
      </w:r>
      <w:r w:rsidR="0071009E">
        <w:rPr>
          <w:rFonts w:eastAsia="SimSun"/>
          <w:lang w:eastAsia="zh-CN"/>
        </w:rPr>
        <w:t>is essential to represent the desired increase in the cell range for these allocations. This can be accommodated by have different back-off requirements for inner and outer allocations.</w:t>
      </w:r>
    </w:p>
    <w:p w14:paraId="5B96ED43" w14:textId="77777777" w:rsidR="0071009E" w:rsidRDefault="0071009E" w:rsidP="003C55C1">
      <w:pPr>
        <w:spacing w:after="0"/>
        <w:jc w:val="both"/>
        <w:rPr>
          <w:rFonts w:eastAsia="SimSun"/>
          <w:lang w:eastAsia="zh-CN"/>
        </w:rPr>
      </w:pPr>
    </w:p>
    <w:p w14:paraId="58F74182" w14:textId="3C44C191" w:rsidR="0071009E" w:rsidRDefault="0071009E" w:rsidP="003C55C1">
      <w:pPr>
        <w:spacing w:after="0"/>
        <w:jc w:val="both"/>
        <w:rPr>
          <w:rFonts w:eastAsia="SimSun"/>
          <w:lang w:eastAsia="zh-CN"/>
        </w:rPr>
      </w:pPr>
      <w:r>
        <w:rPr>
          <w:rFonts w:eastAsia="SimSun"/>
          <w:lang w:eastAsia="zh-CN"/>
        </w:rPr>
        <w:t>In [4</w:t>
      </w:r>
      <w:r w:rsidR="0035592E">
        <w:rPr>
          <w:rFonts w:eastAsia="SimSun"/>
          <w:lang w:eastAsia="zh-CN"/>
        </w:rPr>
        <w:t>, 5, 6</w:t>
      </w:r>
      <w:r>
        <w:rPr>
          <w:rFonts w:eastAsia="SimSun"/>
          <w:lang w:eastAsia="zh-CN"/>
        </w:rPr>
        <w:t>]</w:t>
      </w:r>
      <w:r w:rsidR="0035592E">
        <w:rPr>
          <w:rFonts w:eastAsia="SimSun"/>
          <w:lang w:eastAsia="zh-CN"/>
        </w:rPr>
        <w:t xml:space="preserve"> back-off was evaluated for both types of allocations in both one PA intra-band NR UL CA and one or two PA intra-band ENDC. In all cases and in particular for contiguous case, the use of inner allocation shows significant back-off benefits.</w:t>
      </w:r>
    </w:p>
    <w:p w14:paraId="0CD7AC39" w14:textId="77777777" w:rsidR="0035592E" w:rsidRDefault="0035592E" w:rsidP="003C55C1">
      <w:pPr>
        <w:spacing w:after="0"/>
        <w:jc w:val="both"/>
        <w:rPr>
          <w:rFonts w:eastAsia="SimSun"/>
          <w:lang w:eastAsia="zh-CN"/>
        </w:rPr>
      </w:pPr>
    </w:p>
    <w:p w14:paraId="48F6D0F6" w14:textId="1A96C3E3" w:rsidR="0035592E" w:rsidRDefault="0035592E" w:rsidP="003C55C1">
      <w:pPr>
        <w:spacing w:after="0"/>
        <w:jc w:val="both"/>
        <w:rPr>
          <w:rFonts w:eastAsia="SimSun"/>
          <w:lang w:eastAsia="zh-CN"/>
        </w:rPr>
      </w:pPr>
      <w:r>
        <w:rPr>
          <w:rFonts w:eastAsia="SimSun"/>
          <w:lang w:eastAsia="zh-CN"/>
        </w:rPr>
        <w:t xml:space="preserve">Although it is too early to </w:t>
      </w:r>
      <w:r w:rsidR="000A5456">
        <w:rPr>
          <w:rFonts w:eastAsia="SimSun"/>
          <w:lang w:eastAsia="zh-CN"/>
        </w:rPr>
        <w:t xml:space="preserve">make a conclusion regarding </w:t>
      </w:r>
      <w:r>
        <w:rPr>
          <w:rFonts w:eastAsia="SimSun"/>
          <w:lang w:eastAsia="zh-CN"/>
        </w:rPr>
        <w:t>actual back-off values for inner allocations</w:t>
      </w:r>
      <w:r w:rsidR="001E31C3">
        <w:rPr>
          <w:rFonts w:eastAsia="SimSun"/>
          <w:lang w:eastAsia="zh-CN"/>
        </w:rPr>
        <w:t>,</w:t>
      </w:r>
      <w:r>
        <w:rPr>
          <w:rFonts w:eastAsia="SimSun"/>
          <w:lang w:eastAsia="zh-CN"/>
        </w:rPr>
        <w:t xml:space="preserve"> we want to </w:t>
      </w:r>
      <w:r w:rsidR="000A5456">
        <w:rPr>
          <w:rFonts w:eastAsia="SimSun"/>
          <w:lang w:eastAsia="zh-CN"/>
        </w:rPr>
        <w:t>address</w:t>
      </w:r>
      <w:r>
        <w:rPr>
          <w:rFonts w:eastAsia="SimSun"/>
          <w:lang w:eastAsia="zh-CN"/>
        </w:rPr>
        <w:t xml:space="preserve"> here how inner allocation</w:t>
      </w:r>
      <w:r w:rsidR="001E31C3">
        <w:rPr>
          <w:rFonts w:eastAsia="SimSun"/>
          <w:lang w:eastAsia="zh-CN"/>
        </w:rPr>
        <w:t xml:space="preserve"> as defined in [1]</w:t>
      </w:r>
      <w:r>
        <w:rPr>
          <w:rFonts w:eastAsia="SimSun"/>
          <w:lang w:eastAsia="zh-CN"/>
        </w:rPr>
        <w:t xml:space="preserve"> for</w:t>
      </w:r>
      <w:r w:rsidR="001E31C3">
        <w:rPr>
          <w:rFonts w:eastAsia="SimSun"/>
          <w:lang w:eastAsia="zh-CN"/>
        </w:rPr>
        <w:t xml:space="preserve"> intra-band</w:t>
      </w:r>
      <w:r>
        <w:rPr>
          <w:rFonts w:eastAsia="SimSun"/>
          <w:lang w:eastAsia="zh-CN"/>
        </w:rPr>
        <w:t xml:space="preserve"> contiguous </w:t>
      </w:r>
      <w:r w:rsidR="001E31C3">
        <w:rPr>
          <w:rFonts w:eastAsia="SimSun"/>
          <w:lang w:eastAsia="zh-CN"/>
        </w:rPr>
        <w:t>two UL cases concept can be introduced in the specifications and referred to in MPR, A-MPR and MSD, requirements. Note that similar approach can be followed for the non-contiguous inner allocation definition of [1]</w:t>
      </w:r>
      <w:r w:rsidR="000A5456">
        <w:rPr>
          <w:rFonts w:eastAsia="SimSun"/>
          <w:lang w:eastAsia="zh-CN"/>
        </w:rPr>
        <w:t>.</w:t>
      </w:r>
      <w:r w:rsidR="001E31C3">
        <w:rPr>
          <w:rFonts w:eastAsia="SimSun"/>
          <w:lang w:eastAsia="zh-CN"/>
        </w:rPr>
        <w:t xml:space="preserve"> but at this point it is believed that the opportunity to benefit from these is more restricted </w:t>
      </w:r>
      <w:r w:rsidR="003C55C1">
        <w:rPr>
          <w:rFonts w:eastAsia="SimSun"/>
          <w:lang w:eastAsia="zh-CN"/>
        </w:rPr>
        <w:t>(conditional to gap versus channel bandwidth) and thus less of a priority.</w:t>
      </w:r>
    </w:p>
    <w:p w14:paraId="57F56686" w14:textId="77777777" w:rsidR="0035592E" w:rsidRDefault="0035592E" w:rsidP="003C55C1">
      <w:pPr>
        <w:spacing w:after="0"/>
        <w:jc w:val="both"/>
        <w:rPr>
          <w:rFonts w:eastAsia="SimSun"/>
          <w:lang w:eastAsia="zh-CN"/>
        </w:rPr>
      </w:pPr>
    </w:p>
    <w:p w14:paraId="0F25B177" w14:textId="77777777" w:rsidR="003C55C1" w:rsidRDefault="0035592E" w:rsidP="003C55C1">
      <w:pPr>
        <w:spacing w:after="0"/>
        <w:jc w:val="both"/>
        <w:rPr>
          <w:rFonts w:eastAsia="SimSun"/>
          <w:b/>
          <w:lang w:eastAsia="zh-CN"/>
        </w:rPr>
      </w:pPr>
      <w:r w:rsidRPr="001E31C3">
        <w:rPr>
          <w:rFonts w:eastAsia="SimSun"/>
          <w:b/>
          <w:lang w:eastAsia="zh-CN"/>
        </w:rPr>
        <w:t xml:space="preserve">Observation 1: </w:t>
      </w:r>
    </w:p>
    <w:p w14:paraId="022B7A16" w14:textId="3415D33C" w:rsidR="0071009E" w:rsidRDefault="0035592E" w:rsidP="00CE73E0">
      <w:pPr>
        <w:pStyle w:val="ListParagraph"/>
        <w:numPr>
          <w:ilvl w:val="0"/>
          <w:numId w:val="9"/>
        </w:numPr>
        <w:spacing w:after="0"/>
        <w:jc w:val="both"/>
        <w:rPr>
          <w:b/>
          <w:lang w:eastAsia="zh-CN"/>
        </w:rPr>
      </w:pPr>
      <w:r w:rsidRPr="003C55C1">
        <w:rPr>
          <w:b/>
          <w:lang w:eastAsia="zh-CN"/>
        </w:rPr>
        <w:t xml:space="preserve">Inner allocation concept has shown significant back-off improvement for intra-band contiguous </w:t>
      </w:r>
      <w:r w:rsidR="001E31C3" w:rsidRPr="003C55C1">
        <w:rPr>
          <w:b/>
          <w:lang w:eastAsia="zh-CN"/>
        </w:rPr>
        <w:t>two UL cases. It may also prove interesting for ULSUP FDM case.</w:t>
      </w:r>
    </w:p>
    <w:p w14:paraId="2C4C47E0" w14:textId="673CE138" w:rsidR="003C55C1" w:rsidRPr="003C55C1" w:rsidRDefault="003C55C1" w:rsidP="00CE73E0">
      <w:pPr>
        <w:pStyle w:val="ListParagraph"/>
        <w:numPr>
          <w:ilvl w:val="0"/>
          <w:numId w:val="9"/>
        </w:numPr>
        <w:spacing w:after="0"/>
        <w:jc w:val="both"/>
        <w:rPr>
          <w:b/>
          <w:lang w:eastAsia="zh-CN"/>
        </w:rPr>
      </w:pPr>
      <w:r>
        <w:rPr>
          <w:b/>
          <w:lang w:eastAsia="zh-CN"/>
        </w:rPr>
        <w:t xml:space="preserve">For </w:t>
      </w:r>
      <w:r w:rsidRPr="003C55C1">
        <w:rPr>
          <w:b/>
          <w:lang w:eastAsia="zh-CN"/>
        </w:rPr>
        <w:t xml:space="preserve">intra-band </w:t>
      </w:r>
      <w:r>
        <w:rPr>
          <w:b/>
          <w:lang w:eastAsia="zh-CN"/>
        </w:rPr>
        <w:t>non-</w:t>
      </w:r>
      <w:r w:rsidRPr="003C55C1">
        <w:rPr>
          <w:b/>
          <w:lang w:eastAsia="zh-CN"/>
        </w:rPr>
        <w:t>contiguous two UL cases</w:t>
      </w:r>
      <w:r>
        <w:rPr>
          <w:b/>
          <w:lang w:eastAsia="zh-CN"/>
        </w:rPr>
        <w:t xml:space="preserve"> the opportunity for inner allocations is more restrictive but as an example would benefit some MSD test cases and MPR for DC_3_n3</w:t>
      </w:r>
    </w:p>
    <w:p w14:paraId="69F157AD" w14:textId="7D843D86" w:rsidR="006202F7" w:rsidRDefault="001E31C3" w:rsidP="00861AD7">
      <w:pPr>
        <w:pStyle w:val="Heading2"/>
        <w:spacing w:after="240"/>
        <w:rPr>
          <w:sz w:val="36"/>
          <w:lang w:val="en-US"/>
        </w:rPr>
      </w:pPr>
      <w:r>
        <w:rPr>
          <w:sz w:val="36"/>
          <w:lang w:val="en-US"/>
        </w:rPr>
        <w:t>Introduction of Inner Allocation in the Specification</w:t>
      </w:r>
    </w:p>
    <w:p w14:paraId="77244ACB" w14:textId="24E589B3" w:rsidR="00FB0211" w:rsidRDefault="003C55C1" w:rsidP="003C55C1">
      <w:pPr>
        <w:spacing w:after="0"/>
        <w:jc w:val="both"/>
      </w:pPr>
      <w:r>
        <w:t xml:space="preserve">To simplify the introduction of inner allocation concept for two UL intra-band contiguous cases in 38.101-1 for NR UL CA and 38.101-3 for ENDC, inner allocation definition should be introduced in MPR sections with related equations </w:t>
      </w:r>
      <w:r w:rsidR="004A15C6">
        <w:t xml:space="preserve">defining the allocations </w:t>
      </w:r>
      <w:r>
        <w:t xml:space="preserve">and two sets of MPR equations for inner and outer cases. </w:t>
      </w:r>
      <w:proofErr w:type="gramStart"/>
      <w:r>
        <w:t>This,</w:t>
      </w:r>
      <w:proofErr w:type="gramEnd"/>
      <w:r>
        <w:t xml:space="preserve"> would correspond to the way inner and outer allocations have been introduced in 38.101-1 for single CC MPR.</w:t>
      </w:r>
    </w:p>
    <w:p w14:paraId="23F835FB" w14:textId="77777777" w:rsidR="003C55C1" w:rsidRDefault="003C55C1" w:rsidP="003C55C1">
      <w:pPr>
        <w:spacing w:after="0"/>
        <w:jc w:val="both"/>
      </w:pPr>
    </w:p>
    <w:p w14:paraId="032CFA78" w14:textId="42A400E2" w:rsidR="004A15C6" w:rsidRDefault="003C55C1" w:rsidP="003C55C1">
      <w:pPr>
        <w:spacing w:after="0"/>
        <w:jc w:val="both"/>
      </w:pPr>
      <w:r>
        <w:lastRenderedPageBreak/>
        <w:t>Given this</w:t>
      </w:r>
      <w:r w:rsidR="004A15C6">
        <w:t>,</w:t>
      </w:r>
      <w:r>
        <w:t xml:space="preserve"> the requirement for inner </w:t>
      </w:r>
      <w:r w:rsidR="004A15C6">
        <w:t>allocation (contiguous case) MPR is related to:</w:t>
      </w:r>
    </w:p>
    <w:p w14:paraId="7C2A9729" w14:textId="3F634998" w:rsidR="004A15C6" w:rsidRDefault="004A15C6" w:rsidP="00CE73E0">
      <w:pPr>
        <w:pStyle w:val="ListParagraph"/>
        <w:numPr>
          <w:ilvl w:val="0"/>
          <w:numId w:val="10"/>
        </w:numPr>
        <w:spacing w:after="0"/>
        <w:jc w:val="both"/>
      </w:pPr>
      <w:r>
        <w:t>Single CC EVM and IBE which is dependent on waveform and modulation order but can refer directly to the single CC MPR in 38.101-1</w:t>
      </w:r>
    </w:p>
    <w:p w14:paraId="7E77B93B" w14:textId="14E04E47" w:rsidR="003C55C1" w:rsidRDefault="004A15C6" w:rsidP="00CE73E0">
      <w:pPr>
        <w:pStyle w:val="ListParagraph"/>
        <w:numPr>
          <w:ilvl w:val="0"/>
          <w:numId w:val="10"/>
        </w:numPr>
        <w:spacing w:after="0"/>
        <w:jc w:val="both"/>
      </w:pPr>
      <w:r>
        <w:t>IMD5/7/9 product of the two UL meeting -13</w:t>
      </w:r>
      <w:r w:rsidR="000A5456">
        <w:t xml:space="preserve"> </w:t>
      </w:r>
      <w:proofErr w:type="spellStart"/>
      <w:r>
        <w:t>dBm</w:t>
      </w:r>
      <w:proofErr w:type="spellEnd"/>
      <w:r>
        <w:t>/MHz level</w:t>
      </w:r>
    </w:p>
    <w:p w14:paraId="34C6EB92" w14:textId="7C27C0BF" w:rsidR="004A15C6" w:rsidRDefault="004A15C6" w:rsidP="00CE73E0">
      <w:pPr>
        <w:pStyle w:val="ListParagraph"/>
        <w:numPr>
          <w:ilvl w:val="0"/>
          <w:numId w:val="10"/>
        </w:numPr>
        <w:spacing w:after="0"/>
        <w:jc w:val="both"/>
      </w:pPr>
      <w:r>
        <w:t>IMD 9 and above meeting -30</w:t>
      </w:r>
      <w:r w:rsidR="000A5456">
        <w:t xml:space="preserve"> </w:t>
      </w:r>
      <w:proofErr w:type="spellStart"/>
      <w:r>
        <w:t>dBm</w:t>
      </w:r>
      <w:proofErr w:type="spellEnd"/>
      <w:r>
        <w:t>/MHz level (which should not require any additional back-off)</w:t>
      </w:r>
    </w:p>
    <w:p w14:paraId="4EE4638A" w14:textId="77777777" w:rsidR="004A15C6" w:rsidRDefault="004A15C6" w:rsidP="00CE73E0">
      <w:pPr>
        <w:pStyle w:val="ListParagraph"/>
        <w:numPr>
          <w:ilvl w:val="0"/>
          <w:numId w:val="10"/>
        </w:numPr>
        <w:spacing w:after="0"/>
        <w:jc w:val="both"/>
      </w:pPr>
      <w:r>
        <w:t>Power class and number of PAs, but as a starting point we can use:</w:t>
      </w:r>
    </w:p>
    <w:p w14:paraId="5261FB59" w14:textId="7F98D6FC" w:rsidR="004A15C6" w:rsidRDefault="004A15C6" w:rsidP="00CE73E0">
      <w:pPr>
        <w:pStyle w:val="ListParagraph"/>
        <w:numPr>
          <w:ilvl w:val="1"/>
          <w:numId w:val="10"/>
        </w:numPr>
        <w:spacing w:after="0"/>
        <w:jc w:val="both"/>
      </w:pPr>
      <w:r>
        <w:t>PC2 based on two PC2 PAs for ENDC</w:t>
      </w:r>
      <w:r w:rsidR="008E7660">
        <w:t xml:space="preserve"> reused for PC3 based on two PC3 PAs</w:t>
      </w:r>
    </w:p>
    <w:p w14:paraId="2FB5E990" w14:textId="233AA1A4" w:rsidR="004A15C6" w:rsidRDefault="004A15C6" w:rsidP="00CE73E0">
      <w:pPr>
        <w:pStyle w:val="ListParagraph"/>
        <w:numPr>
          <w:ilvl w:val="1"/>
          <w:numId w:val="10"/>
        </w:numPr>
        <w:spacing w:after="0"/>
        <w:jc w:val="both"/>
      </w:pPr>
      <w:r>
        <w:t>PC3 based on one PA for ENDC and NR UL CA</w:t>
      </w:r>
    </w:p>
    <w:p w14:paraId="76192A8B" w14:textId="77777777" w:rsidR="00FB0211" w:rsidRDefault="00FB0211" w:rsidP="00FB0211">
      <w:pPr>
        <w:spacing w:after="0"/>
      </w:pPr>
    </w:p>
    <w:p w14:paraId="3E8213ED" w14:textId="3AE614C6" w:rsidR="00FB0211" w:rsidRPr="008E7660" w:rsidRDefault="008E7660" w:rsidP="00FB0211">
      <w:pPr>
        <w:spacing w:after="0"/>
        <w:rPr>
          <w:b/>
        </w:rPr>
      </w:pPr>
      <w:r w:rsidRPr="008E7660">
        <w:rPr>
          <w:b/>
        </w:rPr>
        <w:t xml:space="preserve">Proposal 1 for </w:t>
      </w:r>
      <w:r w:rsidR="000A5456">
        <w:rPr>
          <w:b/>
        </w:rPr>
        <w:t>R</w:t>
      </w:r>
      <w:r w:rsidRPr="008E7660">
        <w:rPr>
          <w:b/>
        </w:rPr>
        <w:t>elease 16 introduction</w:t>
      </w:r>
      <w:r w:rsidR="004A15C6" w:rsidRPr="008E7660">
        <w:rPr>
          <w:b/>
        </w:rPr>
        <w:t>:</w:t>
      </w:r>
    </w:p>
    <w:p w14:paraId="761C03F2" w14:textId="47DBD3C3" w:rsidR="004A15C6" w:rsidRPr="008E7660" w:rsidRDefault="008E7660" w:rsidP="00CE73E0">
      <w:pPr>
        <w:pStyle w:val="ListParagraph"/>
        <w:numPr>
          <w:ilvl w:val="0"/>
          <w:numId w:val="11"/>
        </w:numPr>
        <w:spacing w:after="0"/>
        <w:rPr>
          <w:b/>
        </w:rPr>
      </w:pPr>
      <w:r w:rsidRPr="008E7660">
        <w:rPr>
          <w:b/>
        </w:rPr>
        <w:t>Inner allocation for intra-band contiguous ENDC is introduced in 38.101-3 MPR section with:</w:t>
      </w:r>
    </w:p>
    <w:p w14:paraId="730953AC" w14:textId="257C6CEC" w:rsidR="008E7660" w:rsidRPr="008E7660" w:rsidRDefault="008E7660" w:rsidP="00CE73E0">
      <w:pPr>
        <w:pStyle w:val="ListParagraph"/>
        <w:numPr>
          <w:ilvl w:val="1"/>
          <w:numId w:val="11"/>
        </w:numPr>
        <w:spacing w:after="0"/>
        <w:rPr>
          <w:b/>
        </w:rPr>
      </w:pPr>
      <w:r w:rsidRPr="008E7660">
        <w:rPr>
          <w:b/>
        </w:rPr>
        <w:t>Equation defining inner allocations</w:t>
      </w:r>
    </w:p>
    <w:p w14:paraId="5757B76E" w14:textId="60C2C334" w:rsidR="008E7660" w:rsidRDefault="008E7660" w:rsidP="00CE73E0">
      <w:pPr>
        <w:pStyle w:val="ListParagraph"/>
        <w:numPr>
          <w:ilvl w:val="1"/>
          <w:numId w:val="11"/>
        </w:numPr>
        <w:spacing w:after="0"/>
        <w:rPr>
          <w:b/>
        </w:rPr>
      </w:pPr>
      <w:r w:rsidRPr="008E7660">
        <w:rPr>
          <w:b/>
        </w:rPr>
        <w:t xml:space="preserve">MPR equations </w:t>
      </w:r>
      <w:r>
        <w:rPr>
          <w:b/>
        </w:rPr>
        <w:t>with two sets of values for inner and outer allocations for:</w:t>
      </w:r>
    </w:p>
    <w:p w14:paraId="21A115E0" w14:textId="754BB5DA" w:rsidR="008E7660" w:rsidRDefault="008E7660" w:rsidP="00CE73E0">
      <w:pPr>
        <w:pStyle w:val="ListParagraph"/>
        <w:numPr>
          <w:ilvl w:val="2"/>
          <w:numId w:val="11"/>
        </w:numPr>
        <w:spacing w:after="0"/>
        <w:rPr>
          <w:b/>
        </w:rPr>
      </w:pPr>
      <w:r>
        <w:rPr>
          <w:b/>
        </w:rPr>
        <w:t>PC2 (two PC2 PAs) and reused as is for PC3 (two PC3 PAs)</w:t>
      </w:r>
    </w:p>
    <w:p w14:paraId="59002301" w14:textId="748C59E3" w:rsidR="008E7660" w:rsidRDefault="008E7660" w:rsidP="00CE73E0">
      <w:pPr>
        <w:pStyle w:val="ListParagraph"/>
        <w:numPr>
          <w:ilvl w:val="2"/>
          <w:numId w:val="11"/>
        </w:numPr>
        <w:spacing w:after="0"/>
        <w:rPr>
          <w:b/>
        </w:rPr>
      </w:pPr>
      <w:r>
        <w:rPr>
          <w:b/>
        </w:rPr>
        <w:t>PC3 single PA</w:t>
      </w:r>
    </w:p>
    <w:p w14:paraId="0B5C013E" w14:textId="249DBA0E" w:rsidR="008E7660" w:rsidRPr="008E7660" w:rsidRDefault="008E7660" w:rsidP="00CE73E0">
      <w:pPr>
        <w:pStyle w:val="ListParagraph"/>
        <w:numPr>
          <w:ilvl w:val="0"/>
          <w:numId w:val="11"/>
        </w:numPr>
        <w:spacing w:after="0"/>
        <w:rPr>
          <w:b/>
        </w:rPr>
      </w:pPr>
      <w:r w:rsidRPr="008E7660">
        <w:rPr>
          <w:b/>
        </w:rPr>
        <w:t xml:space="preserve">Inner allocation for intra-band contiguous </w:t>
      </w:r>
      <w:r>
        <w:rPr>
          <w:b/>
        </w:rPr>
        <w:t>NR UL CA</w:t>
      </w:r>
      <w:r w:rsidRPr="008E7660">
        <w:rPr>
          <w:b/>
        </w:rPr>
        <w:t xml:space="preserve"> is introduced in 38.101-</w:t>
      </w:r>
      <w:r>
        <w:rPr>
          <w:b/>
        </w:rPr>
        <w:t>1</w:t>
      </w:r>
      <w:r w:rsidRPr="008E7660">
        <w:rPr>
          <w:b/>
        </w:rPr>
        <w:t xml:space="preserve"> MPR section with:</w:t>
      </w:r>
    </w:p>
    <w:p w14:paraId="63A85082" w14:textId="77777777" w:rsidR="008E7660" w:rsidRPr="008E7660" w:rsidRDefault="008E7660" w:rsidP="00CE73E0">
      <w:pPr>
        <w:pStyle w:val="ListParagraph"/>
        <w:numPr>
          <w:ilvl w:val="1"/>
          <w:numId w:val="11"/>
        </w:numPr>
        <w:spacing w:after="0"/>
        <w:rPr>
          <w:b/>
        </w:rPr>
      </w:pPr>
      <w:r w:rsidRPr="008E7660">
        <w:rPr>
          <w:b/>
        </w:rPr>
        <w:t>Equation defining inner allocations</w:t>
      </w:r>
    </w:p>
    <w:p w14:paraId="2AC79715" w14:textId="53B52DD8" w:rsidR="008E7660" w:rsidRDefault="008E7660" w:rsidP="00CE73E0">
      <w:pPr>
        <w:pStyle w:val="ListParagraph"/>
        <w:numPr>
          <w:ilvl w:val="1"/>
          <w:numId w:val="11"/>
        </w:numPr>
        <w:spacing w:after="0"/>
        <w:rPr>
          <w:b/>
        </w:rPr>
      </w:pPr>
      <w:r w:rsidRPr="008E7660">
        <w:rPr>
          <w:b/>
        </w:rPr>
        <w:t xml:space="preserve">MPR equations </w:t>
      </w:r>
      <w:r>
        <w:rPr>
          <w:b/>
        </w:rPr>
        <w:t xml:space="preserve">with two sets of values for inner and outer allocations for </w:t>
      </w:r>
      <w:r w:rsidRPr="008E7660">
        <w:rPr>
          <w:b/>
        </w:rPr>
        <w:t>PC3 and PC2 single PA</w:t>
      </w:r>
    </w:p>
    <w:p w14:paraId="68ACA22A" w14:textId="77777777" w:rsidR="008E7660" w:rsidRDefault="008E7660" w:rsidP="008E7660">
      <w:pPr>
        <w:spacing w:after="0"/>
        <w:rPr>
          <w:b/>
        </w:rPr>
      </w:pPr>
    </w:p>
    <w:p w14:paraId="3A054BB7" w14:textId="783675BB" w:rsidR="008E7660" w:rsidRPr="008E7660" w:rsidRDefault="008E7660" w:rsidP="008E7660">
      <w:pPr>
        <w:spacing w:after="0"/>
        <w:rPr>
          <w:b/>
        </w:rPr>
      </w:pPr>
      <w:r>
        <w:rPr>
          <w:b/>
        </w:rPr>
        <w:t>Note that all this can be introduced without the need for further signaling as the 1PA/2PA signaling exists and MPR/A-MPR versioning is possible.</w:t>
      </w:r>
    </w:p>
    <w:p w14:paraId="2457AEA2" w14:textId="17A8DAE2" w:rsidR="00045A17" w:rsidRDefault="008E7660" w:rsidP="00045A17">
      <w:pPr>
        <w:pStyle w:val="Heading2"/>
        <w:spacing w:after="240"/>
        <w:rPr>
          <w:sz w:val="36"/>
          <w:lang w:val="en-US"/>
        </w:rPr>
      </w:pPr>
      <w:r>
        <w:rPr>
          <w:sz w:val="36"/>
          <w:lang w:val="en-US"/>
        </w:rPr>
        <w:t xml:space="preserve">Reference to Inner Allocations in </w:t>
      </w:r>
      <w:r w:rsidR="000A5456">
        <w:rPr>
          <w:sz w:val="36"/>
          <w:lang w:val="en-US"/>
        </w:rPr>
        <w:t>O</w:t>
      </w:r>
      <w:r>
        <w:rPr>
          <w:sz w:val="36"/>
          <w:lang w:val="en-US"/>
        </w:rPr>
        <w:t xml:space="preserve">ther </w:t>
      </w:r>
      <w:r w:rsidR="000A5456">
        <w:rPr>
          <w:sz w:val="36"/>
          <w:lang w:val="en-US"/>
        </w:rPr>
        <w:t>S</w:t>
      </w:r>
      <w:r>
        <w:rPr>
          <w:sz w:val="36"/>
          <w:lang w:val="en-US"/>
        </w:rPr>
        <w:t>ections</w:t>
      </w:r>
    </w:p>
    <w:p w14:paraId="476C7B82" w14:textId="4CE571C2" w:rsidR="005934AF" w:rsidRDefault="008E7660" w:rsidP="008E7660">
      <w:pPr>
        <w:spacing w:after="0"/>
      </w:pPr>
      <w:r w:rsidRPr="008E7660">
        <w:t>It has been shown that inner allocations would also benefit A-MPR cases like NS04 and NS35</w:t>
      </w:r>
      <w:r>
        <w:t xml:space="preserve">, in this case in the corresponding sections, an extra condition is checked </w:t>
      </w:r>
      <w:r w:rsidR="00A53FAE">
        <w:t>to see if an inner allocation is subject or not to the additional requirement. If not, the generic MPR is applied instead of A-MPR.</w:t>
      </w:r>
    </w:p>
    <w:p w14:paraId="2D4BB82D" w14:textId="77777777" w:rsidR="00A53FAE" w:rsidRDefault="00A53FAE" w:rsidP="008E7660">
      <w:pPr>
        <w:spacing w:after="0"/>
      </w:pPr>
    </w:p>
    <w:p w14:paraId="194A1065" w14:textId="58D85D08" w:rsidR="00A53FAE" w:rsidRDefault="00A53FAE" w:rsidP="008E7660">
      <w:pPr>
        <w:spacing w:after="0"/>
      </w:pPr>
      <w:r>
        <w:t xml:space="preserve">As an example for NS04, since IMD3 for inner allocation are in the aggregated channel region, it can’t be subject to the -13 </w:t>
      </w:r>
      <w:proofErr w:type="spellStart"/>
      <w:r>
        <w:t>dBm</w:t>
      </w:r>
      <w:proofErr w:type="spellEnd"/>
      <w:r>
        <w:t xml:space="preserve">/MHz or -25 </w:t>
      </w:r>
      <w:proofErr w:type="spellStart"/>
      <w:r>
        <w:t>dBm</w:t>
      </w:r>
      <w:proofErr w:type="spellEnd"/>
      <w:r>
        <w:t xml:space="preserve">/MHz requirement. However, the inner allocation IMD5 could fall in the out of band -25 </w:t>
      </w:r>
      <w:proofErr w:type="spellStart"/>
      <w:r>
        <w:t>dBm</w:t>
      </w:r>
      <w:proofErr w:type="spellEnd"/>
      <w:r>
        <w:t xml:space="preserve">/MHz region and fail emissions since MPR is dimensioned for -13 </w:t>
      </w:r>
      <w:proofErr w:type="spellStart"/>
      <w:r>
        <w:t>dBm</w:t>
      </w:r>
      <w:proofErr w:type="spellEnd"/>
      <w:r>
        <w:t xml:space="preserve">/MHz IMD5. Thus, it is just needed to verify that the IMD5 product of the allocations do not fall in the OOB -25 </w:t>
      </w:r>
      <w:proofErr w:type="spellStart"/>
      <w:r>
        <w:t>dBm</w:t>
      </w:r>
      <w:proofErr w:type="spellEnd"/>
      <w:r>
        <w:t>/MHz region to be able to apply the generic inner allocation MPR.</w:t>
      </w:r>
    </w:p>
    <w:p w14:paraId="29270430" w14:textId="77777777" w:rsidR="00A53FAE" w:rsidRDefault="00A53FAE" w:rsidP="008E7660">
      <w:pPr>
        <w:spacing w:after="0"/>
      </w:pPr>
    </w:p>
    <w:p w14:paraId="7F75F390" w14:textId="7DA8F6AD" w:rsidR="00A53FAE" w:rsidRDefault="00A53FAE" w:rsidP="008E7660">
      <w:pPr>
        <w:spacing w:after="0"/>
      </w:pPr>
      <w:r>
        <w:t xml:space="preserve">Similarly for NS35, A-MPR can be relaxed to </w:t>
      </w:r>
      <w:r w:rsidR="002D6B18">
        <w:t>MPR since the worst case IMD5 product for inner allocations related to 20MHz aggregated BW fall less than 6 MHz away</w:t>
      </w:r>
      <w:r w:rsidR="000A5456">
        <w:t xml:space="preserve"> from the UL channel edge. T</w:t>
      </w:r>
      <w:r w:rsidR="002D6B18">
        <w:t>hus</w:t>
      </w:r>
      <w:r w:rsidR="000A5456">
        <w:t>,</w:t>
      </w:r>
      <w:bookmarkStart w:id="2" w:name="_GoBack"/>
      <w:bookmarkEnd w:id="2"/>
      <w:r w:rsidR="002D6B18">
        <w:t xml:space="preserve"> both IMD3 and IMD5 inner allocation product cannot fall into the receive band and furthermore cannot fall into its own LTE and NR receive channels. MSD section for DC</w:t>
      </w:r>
      <w:proofErr w:type="gramStart"/>
      <w:r w:rsidR="002D6B18">
        <w:t>_(</w:t>
      </w:r>
      <w:proofErr w:type="gramEnd"/>
      <w:r w:rsidR="002D6B18">
        <w:t>n)71 can also refer to the inner allocation NS01 MPR for the best MSD test cases while the worst MSD test case can refer to NS35 A-MPR.</w:t>
      </w:r>
    </w:p>
    <w:p w14:paraId="6E39F8F1" w14:textId="77777777" w:rsidR="002D6B18" w:rsidRDefault="002D6B18" w:rsidP="008E7660">
      <w:pPr>
        <w:spacing w:after="0"/>
      </w:pPr>
    </w:p>
    <w:p w14:paraId="4110227F" w14:textId="6C51B635" w:rsidR="002D6B18" w:rsidRDefault="002D6B18" w:rsidP="008E7660">
      <w:pPr>
        <w:spacing w:after="0"/>
      </w:pPr>
      <w:r>
        <w:t>Note that the same approach applies for NR UL CA for A-MPR and MSD (if FDD cases are specified).</w:t>
      </w:r>
    </w:p>
    <w:p w14:paraId="684D7E4C" w14:textId="77777777" w:rsidR="002D6B18" w:rsidRDefault="002D6B18" w:rsidP="008E7660">
      <w:pPr>
        <w:spacing w:after="0"/>
      </w:pPr>
    </w:p>
    <w:p w14:paraId="5364D465" w14:textId="428DCDBF" w:rsidR="002D6B18" w:rsidRPr="00E02CFE" w:rsidRDefault="002D6B18" w:rsidP="002D6B18">
      <w:pPr>
        <w:spacing w:after="0"/>
        <w:rPr>
          <w:b/>
        </w:rPr>
      </w:pPr>
      <w:r w:rsidRPr="00E02CFE">
        <w:rPr>
          <w:b/>
        </w:rPr>
        <w:t>Observation 2: Respective improved inner allocation MPR can be referred to in the A-MPR and MSD sections of 38.101-1 and 38.101-3 for intra-band contiguous ENDC and NR UL CA respectively</w:t>
      </w:r>
      <w:r w:rsidR="00E02CFE" w:rsidRPr="00E02CFE">
        <w:rPr>
          <w:b/>
        </w:rPr>
        <w:t xml:space="preserve"> b</w:t>
      </w:r>
      <w:r w:rsidRPr="00E02CFE">
        <w:rPr>
          <w:b/>
        </w:rPr>
        <w:t xml:space="preserve">ased on additional conditions </w:t>
      </w:r>
      <w:r w:rsidR="00E02CFE" w:rsidRPr="00E02CFE">
        <w:rPr>
          <w:b/>
        </w:rPr>
        <w:t>to be met by inner allocations.</w:t>
      </w:r>
    </w:p>
    <w:p w14:paraId="75E5CD74" w14:textId="73369CEE" w:rsidR="00045A17" w:rsidRDefault="00E02CFE" w:rsidP="00045A17">
      <w:pPr>
        <w:pStyle w:val="Heading2"/>
        <w:spacing w:after="240"/>
        <w:rPr>
          <w:sz w:val="36"/>
          <w:lang w:val="en-US"/>
        </w:rPr>
      </w:pPr>
      <w:r>
        <w:rPr>
          <w:sz w:val="36"/>
          <w:lang w:val="en-US"/>
        </w:rPr>
        <w:t>Proposed Steps for Inner Allocation Introduction</w:t>
      </w:r>
    </w:p>
    <w:p w14:paraId="3CCE7D6F" w14:textId="0969B1EB" w:rsidR="005934AF" w:rsidRDefault="00E02CFE" w:rsidP="00E02CFE">
      <w:pPr>
        <w:spacing w:after="0"/>
      </w:pPr>
      <w:r w:rsidRPr="00E02CFE">
        <w:t>In the previous chapters,</w:t>
      </w:r>
      <w:r>
        <w:t xml:space="preserve"> we have discussed how inner allocations for intra-band two UL contiguous cases can be introduced in 38.101-1 and -3 specifications and benefit generic and additional UE requirements such as MPR, A-MPR and MSD for ENDC and NR UL CA. In order to agree on MPR values we propose the following studies in Release 16.</w:t>
      </w:r>
    </w:p>
    <w:p w14:paraId="7B83C6AC" w14:textId="77777777" w:rsidR="00E02CFE" w:rsidRDefault="00E02CFE" w:rsidP="00E02CFE">
      <w:pPr>
        <w:spacing w:after="0"/>
      </w:pPr>
    </w:p>
    <w:p w14:paraId="36DB3A8C" w14:textId="58DBE022" w:rsidR="00E02CFE" w:rsidRPr="009924C1" w:rsidRDefault="00E02CFE" w:rsidP="00E02CFE">
      <w:pPr>
        <w:spacing w:after="0"/>
        <w:rPr>
          <w:b/>
        </w:rPr>
      </w:pPr>
      <w:r w:rsidRPr="009924C1">
        <w:rPr>
          <w:b/>
        </w:rPr>
        <w:t>Proposal 2 for Release 16 studies needed to introduce improved MPR/A-MPR based on inner allocation definition:</w:t>
      </w:r>
    </w:p>
    <w:p w14:paraId="3DA0B210" w14:textId="47C0FAA9" w:rsidR="00E02CFE" w:rsidRPr="009924C1" w:rsidRDefault="009924C1" w:rsidP="00CE73E0">
      <w:pPr>
        <w:pStyle w:val="ListParagraph"/>
        <w:numPr>
          <w:ilvl w:val="0"/>
          <w:numId w:val="12"/>
        </w:numPr>
        <w:spacing w:after="0"/>
        <w:rPr>
          <w:b/>
        </w:rPr>
      </w:pPr>
      <w:r w:rsidRPr="009924C1">
        <w:rPr>
          <w:b/>
        </w:rPr>
        <w:lastRenderedPageBreak/>
        <w:t>Back-off requirements to meet -13dBm/MHz IMD5 level using one PC3 PA are evaluated in DC_(n)71 case</w:t>
      </w:r>
    </w:p>
    <w:p w14:paraId="79E059A3" w14:textId="45B72A15" w:rsidR="009924C1" w:rsidRPr="009924C1" w:rsidRDefault="009924C1" w:rsidP="00CE73E0">
      <w:pPr>
        <w:pStyle w:val="ListParagraph"/>
        <w:numPr>
          <w:ilvl w:val="0"/>
          <w:numId w:val="12"/>
        </w:numPr>
        <w:spacing w:after="0"/>
        <w:rPr>
          <w:b/>
        </w:rPr>
      </w:pPr>
      <w:r w:rsidRPr="009924C1">
        <w:rPr>
          <w:b/>
        </w:rPr>
        <w:t>Back-off requirements to meet -13dBm/MHz IMD5 level using two PC2 PA are evaluated in DC_(n)41 case</w:t>
      </w:r>
    </w:p>
    <w:p w14:paraId="644F0D60" w14:textId="53AB2C6F" w:rsidR="009924C1" w:rsidRPr="009924C1" w:rsidRDefault="009924C1" w:rsidP="00CE73E0">
      <w:pPr>
        <w:pStyle w:val="ListParagraph"/>
        <w:numPr>
          <w:ilvl w:val="0"/>
          <w:numId w:val="12"/>
        </w:numPr>
        <w:spacing w:after="0"/>
        <w:rPr>
          <w:b/>
        </w:rPr>
      </w:pPr>
      <w:r w:rsidRPr="009924C1">
        <w:rPr>
          <w:b/>
        </w:rPr>
        <w:t>Back-off requirements to meet -13dBm/MHz IMD5 level using one PC3 PA are evaluated in UL CA_77C case</w:t>
      </w:r>
    </w:p>
    <w:p w14:paraId="12CE9BEA" w14:textId="77777777" w:rsidR="00A645E7" w:rsidRDefault="00A645E7" w:rsidP="00D269D7">
      <w:pPr>
        <w:pStyle w:val="Heading1"/>
      </w:pPr>
      <w:r>
        <w:t>Conclusions</w:t>
      </w:r>
    </w:p>
    <w:p w14:paraId="1669176C" w14:textId="3B5D5186" w:rsidR="0026504E" w:rsidRDefault="006418C7" w:rsidP="002E7BD8">
      <w:pPr>
        <w:spacing w:after="0"/>
        <w:jc w:val="both"/>
      </w:pPr>
      <w:r>
        <w:t>In this contribution</w:t>
      </w:r>
      <w:r w:rsidR="00D94C42">
        <w:t>,</w:t>
      </w:r>
      <w:r w:rsidR="00596F26">
        <w:t xml:space="preserve"> </w:t>
      </w:r>
      <w:r w:rsidR="005D0F9B">
        <w:t xml:space="preserve">we </w:t>
      </w:r>
      <w:r w:rsidR="009924C1">
        <w:t>further discuss the introduction of the inner allocation concept for intra-band 2 UL contiguous cases as described in [1] and make the following proposals</w:t>
      </w:r>
      <w:r w:rsidR="00C44EC2">
        <w:t>.</w:t>
      </w:r>
    </w:p>
    <w:p w14:paraId="2EBE14AD" w14:textId="77777777" w:rsidR="00EE3FD8" w:rsidRDefault="00EE3FD8" w:rsidP="002E7BD8">
      <w:pPr>
        <w:spacing w:after="0"/>
        <w:jc w:val="both"/>
      </w:pPr>
    </w:p>
    <w:p w14:paraId="120528DA" w14:textId="77777777" w:rsidR="009924C1" w:rsidRPr="008E7660" w:rsidRDefault="009924C1" w:rsidP="009924C1">
      <w:pPr>
        <w:spacing w:after="0"/>
        <w:rPr>
          <w:b/>
        </w:rPr>
      </w:pPr>
      <w:r w:rsidRPr="008E7660">
        <w:rPr>
          <w:b/>
        </w:rPr>
        <w:t>Proposal 1 for release 16 introduction:</w:t>
      </w:r>
    </w:p>
    <w:p w14:paraId="6AFCDB94" w14:textId="77777777" w:rsidR="009924C1" w:rsidRPr="008E7660" w:rsidRDefault="009924C1" w:rsidP="00CE73E0">
      <w:pPr>
        <w:pStyle w:val="ListParagraph"/>
        <w:numPr>
          <w:ilvl w:val="0"/>
          <w:numId w:val="11"/>
        </w:numPr>
        <w:spacing w:after="0"/>
        <w:rPr>
          <w:b/>
        </w:rPr>
      </w:pPr>
      <w:r w:rsidRPr="008E7660">
        <w:rPr>
          <w:b/>
        </w:rPr>
        <w:t>Inner allocation for intra-band contiguous ENDC is introduced in 38.101-3 MPR section with:</w:t>
      </w:r>
    </w:p>
    <w:p w14:paraId="0180B94D" w14:textId="77777777" w:rsidR="009924C1" w:rsidRPr="008E7660" w:rsidRDefault="009924C1" w:rsidP="00CE73E0">
      <w:pPr>
        <w:pStyle w:val="ListParagraph"/>
        <w:numPr>
          <w:ilvl w:val="1"/>
          <w:numId w:val="11"/>
        </w:numPr>
        <w:spacing w:after="0"/>
        <w:rPr>
          <w:b/>
        </w:rPr>
      </w:pPr>
      <w:r w:rsidRPr="008E7660">
        <w:rPr>
          <w:b/>
        </w:rPr>
        <w:t>Equation defining inner allocations</w:t>
      </w:r>
    </w:p>
    <w:p w14:paraId="42516E41" w14:textId="77777777" w:rsidR="009924C1" w:rsidRDefault="009924C1" w:rsidP="00CE73E0">
      <w:pPr>
        <w:pStyle w:val="ListParagraph"/>
        <w:numPr>
          <w:ilvl w:val="1"/>
          <w:numId w:val="11"/>
        </w:numPr>
        <w:spacing w:after="0"/>
        <w:rPr>
          <w:b/>
        </w:rPr>
      </w:pPr>
      <w:r w:rsidRPr="008E7660">
        <w:rPr>
          <w:b/>
        </w:rPr>
        <w:t xml:space="preserve">MPR equations </w:t>
      </w:r>
      <w:r>
        <w:rPr>
          <w:b/>
        </w:rPr>
        <w:t>with two sets of values for inner and outer allocations for:</w:t>
      </w:r>
    </w:p>
    <w:p w14:paraId="48FF7EB1" w14:textId="77777777" w:rsidR="009924C1" w:rsidRDefault="009924C1" w:rsidP="00CE73E0">
      <w:pPr>
        <w:pStyle w:val="ListParagraph"/>
        <w:numPr>
          <w:ilvl w:val="2"/>
          <w:numId w:val="11"/>
        </w:numPr>
        <w:spacing w:after="0"/>
        <w:rPr>
          <w:b/>
        </w:rPr>
      </w:pPr>
      <w:r>
        <w:rPr>
          <w:b/>
        </w:rPr>
        <w:t>PC2 (two PC2 PAs) and reused as is for PC3 (two PC3 PAs)</w:t>
      </w:r>
    </w:p>
    <w:p w14:paraId="0CAC31C2" w14:textId="77777777" w:rsidR="009924C1" w:rsidRDefault="009924C1" w:rsidP="00CE73E0">
      <w:pPr>
        <w:pStyle w:val="ListParagraph"/>
        <w:numPr>
          <w:ilvl w:val="2"/>
          <w:numId w:val="11"/>
        </w:numPr>
        <w:spacing w:after="0"/>
        <w:rPr>
          <w:b/>
        </w:rPr>
      </w:pPr>
      <w:r>
        <w:rPr>
          <w:b/>
        </w:rPr>
        <w:t>PC3 single PA</w:t>
      </w:r>
    </w:p>
    <w:p w14:paraId="44FD90B4" w14:textId="77777777" w:rsidR="009924C1" w:rsidRPr="008E7660" w:rsidRDefault="009924C1" w:rsidP="00CE73E0">
      <w:pPr>
        <w:pStyle w:val="ListParagraph"/>
        <w:numPr>
          <w:ilvl w:val="0"/>
          <w:numId w:val="11"/>
        </w:numPr>
        <w:spacing w:after="0"/>
        <w:rPr>
          <w:b/>
        </w:rPr>
      </w:pPr>
      <w:r w:rsidRPr="008E7660">
        <w:rPr>
          <w:b/>
        </w:rPr>
        <w:t xml:space="preserve">Inner allocation for intra-band contiguous </w:t>
      </w:r>
      <w:r>
        <w:rPr>
          <w:b/>
        </w:rPr>
        <w:t>NR UL CA</w:t>
      </w:r>
      <w:r w:rsidRPr="008E7660">
        <w:rPr>
          <w:b/>
        </w:rPr>
        <w:t xml:space="preserve"> is introduced in 38.101-</w:t>
      </w:r>
      <w:r>
        <w:rPr>
          <w:b/>
        </w:rPr>
        <w:t>1</w:t>
      </w:r>
      <w:r w:rsidRPr="008E7660">
        <w:rPr>
          <w:b/>
        </w:rPr>
        <w:t xml:space="preserve"> MPR section with:</w:t>
      </w:r>
    </w:p>
    <w:p w14:paraId="4EA53031" w14:textId="77777777" w:rsidR="009924C1" w:rsidRPr="008E7660" w:rsidRDefault="009924C1" w:rsidP="00CE73E0">
      <w:pPr>
        <w:pStyle w:val="ListParagraph"/>
        <w:numPr>
          <w:ilvl w:val="1"/>
          <w:numId w:val="11"/>
        </w:numPr>
        <w:spacing w:after="0"/>
        <w:rPr>
          <w:b/>
        </w:rPr>
      </w:pPr>
      <w:r w:rsidRPr="008E7660">
        <w:rPr>
          <w:b/>
        </w:rPr>
        <w:t>Equation defining inner allocations</w:t>
      </w:r>
    </w:p>
    <w:p w14:paraId="3236A9BC" w14:textId="77777777" w:rsidR="009924C1" w:rsidRDefault="009924C1" w:rsidP="00CE73E0">
      <w:pPr>
        <w:pStyle w:val="ListParagraph"/>
        <w:numPr>
          <w:ilvl w:val="1"/>
          <w:numId w:val="11"/>
        </w:numPr>
        <w:spacing w:after="0"/>
        <w:rPr>
          <w:b/>
        </w:rPr>
      </w:pPr>
      <w:r w:rsidRPr="008E7660">
        <w:rPr>
          <w:b/>
        </w:rPr>
        <w:t xml:space="preserve">MPR equations </w:t>
      </w:r>
      <w:r>
        <w:rPr>
          <w:b/>
        </w:rPr>
        <w:t xml:space="preserve">with two sets of values for inner and outer allocations for </w:t>
      </w:r>
      <w:r w:rsidRPr="008E7660">
        <w:rPr>
          <w:b/>
        </w:rPr>
        <w:t>PC3 and PC2 single PA</w:t>
      </w:r>
    </w:p>
    <w:p w14:paraId="61F1E89B" w14:textId="77777777" w:rsidR="00C44EC2" w:rsidRDefault="00C44EC2" w:rsidP="00C44EC2">
      <w:pPr>
        <w:spacing w:after="0"/>
        <w:rPr>
          <w:b/>
        </w:rPr>
      </w:pPr>
    </w:p>
    <w:p w14:paraId="73898D7D" w14:textId="77777777" w:rsidR="009924C1" w:rsidRPr="009924C1" w:rsidRDefault="009924C1" w:rsidP="009924C1">
      <w:pPr>
        <w:spacing w:after="0"/>
        <w:rPr>
          <w:b/>
        </w:rPr>
      </w:pPr>
      <w:r w:rsidRPr="009924C1">
        <w:rPr>
          <w:b/>
        </w:rPr>
        <w:t>Proposal 2 for Release 16 studies needed to introduce improved MPR/A-MPR based on inner allocation definition:</w:t>
      </w:r>
    </w:p>
    <w:p w14:paraId="7F05DC08" w14:textId="77777777" w:rsidR="009924C1" w:rsidRPr="009924C1" w:rsidRDefault="009924C1" w:rsidP="00CE73E0">
      <w:pPr>
        <w:pStyle w:val="ListParagraph"/>
        <w:numPr>
          <w:ilvl w:val="0"/>
          <w:numId w:val="12"/>
        </w:numPr>
        <w:spacing w:after="0"/>
        <w:rPr>
          <w:b/>
        </w:rPr>
      </w:pPr>
      <w:r w:rsidRPr="009924C1">
        <w:rPr>
          <w:b/>
        </w:rPr>
        <w:t>Back-off requirements to meet -13dBm/MHz IMD5 level using one PC3 PA are evaluated in DC_(n)71 case</w:t>
      </w:r>
    </w:p>
    <w:p w14:paraId="1ED72734" w14:textId="77777777" w:rsidR="009924C1" w:rsidRPr="009924C1" w:rsidRDefault="009924C1" w:rsidP="00CE73E0">
      <w:pPr>
        <w:pStyle w:val="ListParagraph"/>
        <w:numPr>
          <w:ilvl w:val="0"/>
          <w:numId w:val="12"/>
        </w:numPr>
        <w:spacing w:after="0"/>
        <w:rPr>
          <w:b/>
        </w:rPr>
      </w:pPr>
      <w:r w:rsidRPr="009924C1">
        <w:rPr>
          <w:b/>
        </w:rPr>
        <w:t>Back-off requirements to meet -13dBm/MHz IMD5 level using two PC2 PA are evaluated in DC_(n)41 case</w:t>
      </w:r>
    </w:p>
    <w:p w14:paraId="3F07B8F4" w14:textId="77777777" w:rsidR="009924C1" w:rsidRPr="009924C1" w:rsidRDefault="009924C1" w:rsidP="00CE73E0">
      <w:pPr>
        <w:pStyle w:val="ListParagraph"/>
        <w:numPr>
          <w:ilvl w:val="0"/>
          <w:numId w:val="12"/>
        </w:numPr>
        <w:spacing w:after="0"/>
        <w:rPr>
          <w:b/>
        </w:rPr>
      </w:pPr>
      <w:r w:rsidRPr="009924C1">
        <w:rPr>
          <w:b/>
        </w:rPr>
        <w:t>Back-off requirements to meet -13dBm/MHz IMD5 level using one PC3 PA are evaluated in UL CA_77C case</w:t>
      </w:r>
    </w:p>
    <w:p w14:paraId="03D6921F" w14:textId="77777777" w:rsidR="00F10F97" w:rsidRDefault="007321E3" w:rsidP="00C8525F">
      <w:pPr>
        <w:pStyle w:val="Heading1"/>
        <w:numPr>
          <w:ilvl w:val="0"/>
          <w:numId w:val="0"/>
        </w:numPr>
        <w:jc w:val="both"/>
      </w:pPr>
      <w:r>
        <w:t>R</w:t>
      </w:r>
      <w:r w:rsidR="00F10F97">
        <w:t>eferences</w:t>
      </w:r>
    </w:p>
    <w:p w14:paraId="19CDE9D4" w14:textId="21537ECC" w:rsidR="00154E81" w:rsidRDefault="006F1C9E" w:rsidP="006F1C9E">
      <w:pPr>
        <w:jc w:val="both"/>
      </w:pPr>
      <w:r>
        <w:t xml:space="preserve">[1] </w:t>
      </w:r>
      <w:r w:rsidR="00154E81" w:rsidRPr="00154E81">
        <w:t>R4-1908815</w:t>
      </w:r>
      <w:r w:rsidR="00154E81" w:rsidRPr="00154E81">
        <w:tab/>
        <w:t>Discussion on 2UL Allocation Types and their Impact on Required PA Back-off and MSD</w:t>
      </w:r>
      <w:r w:rsidR="00154E81">
        <w:t xml:space="preserve">, </w:t>
      </w:r>
      <w:r w:rsidR="00154E81" w:rsidRPr="003514F7">
        <w:t>Skyworks Solutions Inc.</w:t>
      </w:r>
      <w:r w:rsidR="00154E81">
        <w:t>, RAN4#92</w:t>
      </w:r>
    </w:p>
    <w:p w14:paraId="535BC01E" w14:textId="329E8E52" w:rsidR="006F1C9E" w:rsidRDefault="00154E81" w:rsidP="006F1C9E">
      <w:pPr>
        <w:jc w:val="both"/>
      </w:pPr>
      <w:r>
        <w:t xml:space="preserve">[2] </w:t>
      </w:r>
      <w:r w:rsidRPr="00154E81">
        <w:t>R4-1908822</w:t>
      </w:r>
      <w:r w:rsidRPr="00154E81">
        <w:tab/>
        <w:t>Discussion on Improved Isolation for 2PA Intra-band ENDC w</w:t>
      </w:r>
      <w:r>
        <w:t xml:space="preserve">ith Initial Measurement Results, </w:t>
      </w:r>
      <w:r w:rsidR="006F1C9E" w:rsidRPr="003514F7">
        <w:t>Skyworks Solutions Inc.</w:t>
      </w:r>
      <w:r w:rsidR="006F1C9E">
        <w:t>, RAN4#92</w:t>
      </w:r>
    </w:p>
    <w:p w14:paraId="01E62D1F" w14:textId="6E0FB41E" w:rsidR="006F1C9E" w:rsidRDefault="006F1C9E" w:rsidP="006F1C9E">
      <w:pPr>
        <w:jc w:val="both"/>
      </w:pPr>
      <w:r>
        <w:t>[</w:t>
      </w:r>
      <w:r w:rsidR="00154E81">
        <w:t>3</w:t>
      </w:r>
      <w:r>
        <w:t>]</w:t>
      </w:r>
      <w:r>
        <w:tab/>
      </w:r>
      <w:r w:rsidR="00154E81" w:rsidRPr="00154E81">
        <w:t>R4-1909953</w:t>
      </w:r>
      <w:r w:rsidR="00154E81" w:rsidRPr="00154E81">
        <w:tab/>
        <w:t>Introduction of LTE and NR power levels for DC_(n)71AA MSD Test Points</w:t>
      </w:r>
      <w:r w:rsidR="00154E81">
        <w:t xml:space="preserve">, </w:t>
      </w:r>
      <w:r w:rsidR="00154E81" w:rsidRPr="003514F7">
        <w:t>Skyworks Solutions Inc.</w:t>
      </w:r>
      <w:r w:rsidR="00154E81">
        <w:t>, RAN4#92</w:t>
      </w:r>
    </w:p>
    <w:p w14:paraId="1E817506" w14:textId="26A9B732" w:rsidR="00632D15" w:rsidRDefault="006F1C9E" w:rsidP="00154E81">
      <w:pPr>
        <w:jc w:val="both"/>
      </w:pPr>
      <w:r>
        <w:t>[</w:t>
      </w:r>
      <w:r w:rsidR="00154E81">
        <w:t>4</w:t>
      </w:r>
      <w:r>
        <w:t xml:space="preserve">] </w:t>
      </w:r>
      <w:r w:rsidR="00154E81" w:rsidRPr="00154E81">
        <w:t>R4-1908810</w:t>
      </w:r>
      <w:r w:rsidR="00154E81" w:rsidRPr="00154E81">
        <w:tab/>
        <w:t>1PA Back-off Measurements for PC2&amp;3 intra-band contiguous and non-contiguous ENDC</w:t>
      </w:r>
      <w:r w:rsidR="00154E81">
        <w:t xml:space="preserve">, </w:t>
      </w:r>
      <w:r w:rsidR="00154E81" w:rsidRPr="003514F7">
        <w:t>Skyworks Solutions Inc.</w:t>
      </w:r>
      <w:r w:rsidR="00154E81">
        <w:t>, RAN4#92</w:t>
      </w:r>
    </w:p>
    <w:p w14:paraId="5CB1DD3A" w14:textId="77777777" w:rsidR="0035592E" w:rsidRDefault="0035592E" w:rsidP="0035592E">
      <w:pPr>
        <w:jc w:val="both"/>
      </w:pPr>
      <w:r>
        <w:t xml:space="preserve">[5] </w:t>
      </w:r>
      <w:r w:rsidRPr="0035592E">
        <w:t>R4-1908848</w:t>
      </w:r>
      <w:r w:rsidRPr="0035592E">
        <w:tab/>
        <w:t>2PA Back-off Measurements for NS01&amp;04 intra-band contiguous and non-contiguous ENDC</w:t>
      </w:r>
      <w:r>
        <w:t xml:space="preserve">, </w:t>
      </w:r>
      <w:r w:rsidRPr="003514F7">
        <w:t>Skyworks Solutions Inc.</w:t>
      </w:r>
      <w:r>
        <w:t>, RAN4#92</w:t>
      </w:r>
    </w:p>
    <w:p w14:paraId="7F4CDE20" w14:textId="2E67CE6B" w:rsidR="0035592E" w:rsidRPr="0035592E" w:rsidRDefault="0035592E" w:rsidP="00154E81">
      <w:pPr>
        <w:jc w:val="both"/>
        <w:rPr>
          <w:lang w:val="en-CA"/>
        </w:rPr>
      </w:pPr>
      <w:r>
        <w:t xml:space="preserve">[6] </w:t>
      </w:r>
      <w:r w:rsidRPr="0035592E">
        <w:t>R4-1908839</w:t>
      </w:r>
      <w:r w:rsidRPr="0035592E">
        <w:tab/>
        <w:t>Initial Measurement Results for Intra-band Contiguous NR UL CA for FR1</w:t>
      </w:r>
    </w:p>
    <w:p w14:paraId="2F4B96C2" w14:textId="1A0DCD16" w:rsidR="00632D15" w:rsidRPr="006F1C9E" w:rsidRDefault="00632D15" w:rsidP="00C523E3">
      <w:pPr>
        <w:jc w:val="both"/>
      </w:pPr>
    </w:p>
    <w:sectPr w:rsidR="00632D15" w:rsidRPr="006F1C9E" w:rsidSect="00CC71EC">
      <w:footerReference w:type="default" r:id="rId9"/>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57CA1" w14:textId="77777777" w:rsidR="000B006E" w:rsidRDefault="000B006E">
      <w:r>
        <w:separator/>
      </w:r>
    </w:p>
  </w:endnote>
  <w:endnote w:type="continuationSeparator" w:id="0">
    <w:p w14:paraId="65AEACE4" w14:textId="77777777" w:rsidR="000B006E" w:rsidRDefault="000B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64198C" w:rsidRDefault="006419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28EFC" w14:textId="77777777" w:rsidR="000B006E" w:rsidRDefault="000B006E">
      <w:r>
        <w:separator/>
      </w:r>
    </w:p>
  </w:footnote>
  <w:footnote w:type="continuationSeparator" w:id="0">
    <w:p w14:paraId="64792671" w14:textId="77777777" w:rsidR="000B006E" w:rsidRDefault="000B0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257A9"/>
    <w:multiLevelType w:val="hybridMultilevel"/>
    <w:tmpl w:val="4D981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BCF70A5"/>
    <w:multiLevelType w:val="hybridMultilevel"/>
    <w:tmpl w:val="8604A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E5352F"/>
    <w:multiLevelType w:val="hybridMultilevel"/>
    <w:tmpl w:val="2E4A2F58"/>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4541DB7"/>
    <w:multiLevelType w:val="hybridMultilevel"/>
    <w:tmpl w:val="39D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1"/>
  </w:num>
  <w:num w:numId="5">
    <w:abstractNumId w:val="4"/>
  </w:num>
  <w:num w:numId="6">
    <w:abstractNumId w:val="1"/>
  </w:num>
  <w:num w:numId="7">
    <w:abstractNumId w:val="8"/>
  </w:num>
  <w:num w:numId="8">
    <w:abstractNumId w:val="10"/>
  </w:num>
  <w:num w:numId="9">
    <w:abstractNumId w:val="9"/>
  </w:num>
  <w:num w:numId="10">
    <w:abstractNumId w:val="6"/>
  </w:num>
  <w:num w:numId="11">
    <w:abstractNumId w:val="3"/>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E11"/>
    <w:rsid w:val="00044123"/>
    <w:rsid w:val="0004492F"/>
    <w:rsid w:val="00044985"/>
    <w:rsid w:val="00044FE8"/>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456"/>
    <w:rsid w:val="000A5594"/>
    <w:rsid w:val="000A5F5E"/>
    <w:rsid w:val="000A62EC"/>
    <w:rsid w:val="000A68D4"/>
    <w:rsid w:val="000A706F"/>
    <w:rsid w:val="000A7819"/>
    <w:rsid w:val="000A7B11"/>
    <w:rsid w:val="000A7C07"/>
    <w:rsid w:val="000A7DA1"/>
    <w:rsid w:val="000B006E"/>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88B"/>
    <w:rsid w:val="00196522"/>
    <w:rsid w:val="001967B5"/>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87"/>
    <w:rsid w:val="001E4AE1"/>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4FB8"/>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23A"/>
    <w:rsid w:val="00507262"/>
    <w:rsid w:val="005073C6"/>
    <w:rsid w:val="005074DF"/>
    <w:rsid w:val="00507593"/>
    <w:rsid w:val="00507AD8"/>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4AF"/>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73"/>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3EE2"/>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464"/>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1BB"/>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3A3"/>
    <w:rsid w:val="00F534BD"/>
    <w:rsid w:val="00F535A2"/>
    <w:rsid w:val="00F53B72"/>
    <w:rsid w:val="00F53BC0"/>
    <w:rsid w:val="00F55319"/>
    <w:rsid w:val="00F5606F"/>
    <w:rsid w:val="00F562ED"/>
    <w:rsid w:val="00F56873"/>
    <w:rsid w:val="00F569AD"/>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83CA2-3718-432A-87FA-C75FC6ED4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8821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2019-10-04T08:21:00Z</dcterms:created>
  <dcterms:modified xsi:type="dcterms:W3CDTF">2019-10-04T18:50:00Z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